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jc w:val="center"/>
        <w:rPr>
          <w:rFonts w:ascii="Calibri" w:cs="Calibri" w:eastAsia="Calibri" w:hAnsi="Calibri"/>
          <w:b w:val="1"/>
          <w:color w:val="79c6ff"/>
          <w:sz w:val="28"/>
          <w:szCs w:val="28"/>
        </w:rPr>
      </w:pPr>
      <w:bookmarkStart w:colFirst="0" w:colLast="0" w:name="_heading=h.gjdgxs" w:id="0"/>
      <w:bookmarkEnd w:id="0"/>
      <w:r w:rsidDel="00000000" w:rsidR="00000000" w:rsidRPr="00000000">
        <w:rPr>
          <w:rFonts w:ascii="Calibri" w:cs="Calibri" w:eastAsia="Calibri" w:hAnsi="Calibri"/>
          <w:b w:val="1"/>
          <w:color w:val="79c6ff"/>
          <w:sz w:val="28"/>
          <w:szCs w:val="28"/>
          <w:rtl w:val="0"/>
        </w:rPr>
        <w:t xml:space="preserve">Call for Expression of Interest (EoI)</w:t>
      </w:r>
    </w:p>
    <w:p w:rsidR="00000000" w:rsidDel="00000000" w:rsidP="00000000" w:rsidRDefault="00000000" w:rsidRPr="00000000" w14:paraId="00000002">
      <w:pPr>
        <w:numPr>
          <w:ilvl w:val="0"/>
          <w:numId w:val="1"/>
        </w:numPr>
        <w:spacing w:after="0" w:before="0" w:lineRule="auto"/>
        <w:ind w:left="284" w:right="-327" w:hanging="284"/>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Name of the organisation and country - The Steinhardt Museum of Natural History</w:t>
      </w:r>
    </w:p>
    <w:p w:rsidR="00000000" w:rsidDel="00000000" w:rsidP="00000000" w:rsidRDefault="00000000" w:rsidRPr="00000000" w14:paraId="00000003">
      <w:pPr>
        <w:numPr>
          <w:ilvl w:val="0"/>
          <w:numId w:val="1"/>
        </w:numPr>
        <w:spacing w:after="0" w:before="0" w:lineRule="auto"/>
        <w:ind w:left="284" w:right="-327" w:hanging="284"/>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PIC number - 999901609</w:t>
      </w:r>
      <w:r w:rsidDel="00000000" w:rsidR="00000000" w:rsidRPr="00000000">
        <w:rPr>
          <w:rtl w:val="0"/>
        </w:rPr>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before="0" w:lineRule="auto"/>
        <w:ind w:left="284" w:right="-327" w:hanging="283"/>
        <w:jc w:val="both"/>
        <w:rPr>
          <w:rFonts w:ascii="Calibri" w:cs="Calibri" w:eastAsia="Calibri" w:hAnsi="Calibri"/>
          <w:i w:val="1"/>
          <w:color w:val="434343"/>
        </w:rPr>
      </w:pPr>
      <w:r w:rsidDel="00000000" w:rsidR="00000000" w:rsidRPr="00000000">
        <w:rPr>
          <w:rFonts w:ascii="Calibri" w:cs="Calibri" w:eastAsia="Calibri" w:hAnsi="Calibri"/>
          <w:b w:val="1"/>
          <w:color w:val="434343"/>
          <w:sz w:val="24"/>
          <w:szCs w:val="24"/>
          <w:rtl w:val="0"/>
        </w:rPr>
        <w:t xml:space="preserve">Individual(s) to be involved in the </w:t>
      </w:r>
      <w:r w:rsidDel="00000000" w:rsidR="00000000" w:rsidRPr="00000000">
        <w:rPr>
          <w:rFonts w:ascii="Calibri" w:cs="Calibri" w:eastAsia="Calibri" w:hAnsi="Calibri"/>
          <w:b w:val="1"/>
          <w:color w:val="e36c09"/>
          <w:sz w:val="24"/>
          <w:szCs w:val="24"/>
          <w:rtl w:val="0"/>
        </w:rPr>
        <w:t xml:space="preserve">proposal development</w:t>
      </w:r>
      <w:r w:rsidDel="00000000" w:rsidR="00000000" w:rsidRPr="00000000">
        <w:rPr>
          <w:rFonts w:ascii="Calibri" w:cs="Calibri" w:eastAsia="Calibri" w:hAnsi="Calibri"/>
          <w:b w:val="1"/>
          <w:i w:val="1"/>
          <w:color w:val="434343"/>
          <w:rtl w:val="0"/>
        </w:rPr>
        <w:t xml:space="preserve"> </w:t>
      </w:r>
      <w:r w:rsidDel="00000000" w:rsidR="00000000" w:rsidRPr="00000000">
        <w:rPr>
          <w:rtl w:val="0"/>
        </w:rPr>
      </w:r>
    </w:p>
    <w:sdt>
      <w:sdtPr>
        <w:lock w:val="contentLocked"/>
        <w:tag w:val="goog_rdk_0"/>
      </w:sdtPr>
      <w:sdtContent>
        <w:tbl>
          <w:tblPr>
            <w:tblStyle w:val="Table1"/>
            <w:tblW w:w="100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950"/>
            <w:gridCol w:w="2187.4999999999995"/>
            <w:gridCol w:w="5012.500000000001"/>
            <w:tblGridChange w:id="0">
              <w:tblGrid>
                <w:gridCol w:w="945"/>
                <w:gridCol w:w="1950"/>
                <w:gridCol w:w="2187.4999999999995"/>
                <w:gridCol w:w="5012.500000000001"/>
              </w:tblGrid>
            </w:tblGridChange>
          </w:tblGrid>
          <w:tr>
            <w:trPr>
              <w:cantSplit w:val="0"/>
              <w:trHeight w:val="313.55468749999994" w:hRule="atLeast"/>
              <w:tblHeader w:val="0"/>
            </w:trPr>
            <w:tc>
              <w:tcPr>
                <w:shd w:fill="79c6ff"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shd w:fill="79c6ff"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Position</w:t>
                </w:r>
              </w:p>
            </w:tc>
            <w:tc>
              <w:tcPr>
                <w:shd w:fill="79c6ff"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contact email</w:t>
                </w:r>
              </w:p>
            </w:tc>
            <w:tc>
              <w:tcPr>
                <w:shd w:fill="79c6ff"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Experience</w:t>
                </w:r>
              </w:p>
            </w:tc>
          </w:tr>
          <w:tr>
            <w:trPr>
              <w:cantSplit w:val="0"/>
              <w:trHeight w:val="453.5546875"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rPr>
                </w:pPr>
                <w:r w:rsidDel="00000000" w:rsidR="00000000" w:rsidRPr="00000000">
                  <w:rPr>
                    <w:rFonts w:ascii="Calibri" w:cs="Calibri" w:eastAsia="Calibri" w:hAnsi="Calibri"/>
                    <w:color w:val="434343"/>
                    <w:rtl w:val="0"/>
                  </w:rPr>
                  <w:t xml:space="preserve">Tamar Dayan</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rPr>
                </w:pPr>
                <w:r w:rsidDel="00000000" w:rsidR="00000000" w:rsidRPr="00000000">
                  <w:rPr>
                    <w:rFonts w:ascii="Calibri" w:cs="Calibri" w:eastAsia="Calibri" w:hAnsi="Calibri"/>
                    <w:color w:val="434343"/>
                    <w:rtl w:val="0"/>
                  </w:rPr>
                  <w:t xml:space="preserve">Prof. of ecology and chair of SMNH</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rPr>
                </w:pPr>
                <w:r w:rsidDel="00000000" w:rsidR="00000000" w:rsidRPr="00000000">
                  <w:rPr>
                    <w:rFonts w:ascii="Calibri" w:cs="Calibri" w:eastAsia="Calibri" w:hAnsi="Calibri"/>
                    <w:color w:val="434343"/>
                    <w:rtl w:val="0"/>
                  </w:rPr>
                  <w:t xml:space="preserve">dayant@tauex.tau.ac.il</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rPr>
                </w:pPr>
                <w:r w:rsidDel="00000000" w:rsidR="00000000" w:rsidRPr="00000000">
                  <w:rPr>
                    <w:rFonts w:ascii="Calibri" w:cs="Calibri" w:eastAsia="Calibri" w:hAnsi="Calibri"/>
                    <w:color w:val="434343"/>
                    <w:rtl w:val="0"/>
                  </w:rPr>
                  <w:t xml:space="preserve">Robert Raynor Chair for Environmental Conservation Research; established and leads the Steinhardt Museum as a National Research Infrastructure</w:t>
                </w:r>
                <w:r w:rsidDel="00000000" w:rsidR="00000000" w:rsidRPr="00000000">
                  <w:rPr>
                    <w:rtl w:val="0"/>
                  </w:rPr>
                </w:r>
              </w:p>
            </w:tc>
          </w:tr>
          <w:tr>
            <w:trPr>
              <w:cantSplit w:val="0"/>
              <w:trHeight w:val="792.0000000000002" w:hRule="atLeast"/>
              <w:tblHeader w:val="0"/>
            </w:trPr>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rPr>
                </w:pPr>
                <w:r w:rsidDel="00000000" w:rsidR="00000000" w:rsidRPr="00000000">
                  <w:rPr>
                    <w:rFonts w:ascii="Calibri" w:cs="Calibri" w:eastAsia="Calibri" w:hAnsi="Calibri"/>
                    <w:color w:val="434343"/>
                    <w:rtl w:val="0"/>
                  </w:rPr>
                  <w:t xml:space="preserve">Yaela Golumbic</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rPr>
                </w:pPr>
                <w:r w:rsidDel="00000000" w:rsidR="00000000" w:rsidRPr="00000000">
                  <w:rPr>
                    <w:rFonts w:ascii="Calibri" w:cs="Calibri" w:eastAsia="Calibri" w:hAnsi="Calibri"/>
                    <w:color w:val="434343"/>
                    <w:rtl w:val="0"/>
                  </w:rPr>
                  <w:t xml:space="preserve">Senior researcher and head of citizen science (CS) research</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rPr>
                </w:pPr>
                <w:r w:rsidDel="00000000" w:rsidR="00000000" w:rsidRPr="00000000">
                  <w:rPr>
                    <w:rFonts w:ascii="Calibri" w:cs="Calibri" w:eastAsia="Calibri" w:hAnsi="Calibri"/>
                    <w:color w:val="434343"/>
                    <w:rtl w:val="0"/>
                  </w:rPr>
                  <w:t xml:space="preserve">yaelago@tauex.tau.ac.il</w:t>
                </w:r>
              </w:p>
            </w:tc>
            <w:tc>
              <w:tcPr>
                <w:shd w:fill="auto" w:val="clear"/>
                <w:tcMar>
                  <w:top w:w="-188.64000000000001" w:type="dxa"/>
                  <w:left w:w="-188.64000000000001" w:type="dxa"/>
                  <w:bottom w:w="-188.64000000000001" w:type="dxa"/>
                  <w:right w:w="-188.64000000000001"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434343"/>
                  </w:rPr>
                </w:pPr>
                <w:r w:rsidDel="00000000" w:rsidR="00000000" w:rsidRPr="00000000">
                  <w:rPr>
                    <w:rFonts w:ascii="Calibri" w:cs="Calibri" w:eastAsia="Calibri" w:hAnsi="Calibri"/>
                    <w:color w:val="434343"/>
                    <w:rtl w:val="0"/>
                  </w:rPr>
                  <w:t xml:space="preserve">Participated in several horizon projects, has vast experience in citizen science (CS), stakeholder inclusion, education and communication research </w:t>
                </w:r>
              </w:p>
            </w:tc>
          </w:tr>
        </w:tbl>
      </w:sdtContent>
    </w:sdt>
    <w:p w:rsidR="00000000" w:rsidDel="00000000" w:rsidP="00000000" w:rsidRDefault="00000000" w:rsidRPr="00000000" w14:paraId="00000011">
      <w:pPr>
        <w:numPr>
          <w:ilvl w:val="0"/>
          <w:numId w:val="1"/>
        </w:numPr>
        <w:spacing w:after="0" w:before="0" w:lineRule="auto"/>
        <w:ind w:left="284" w:right="-327" w:hanging="284"/>
        <w:rPr>
          <w:rFonts w:ascii="Calibri" w:cs="Calibri" w:eastAsia="Calibri" w:hAnsi="Calibri"/>
          <w:b w:val="1"/>
          <w:i w:val="1"/>
          <w:color w:val="434343"/>
          <w:sz w:val="24"/>
          <w:szCs w:val="24"/>
        </w:rPr>
      </w:pPr>
      <w:r w:rsidDel="00000000" w:rsidR="00000000" w:rsidRPr="00000000">
        <w:rPr>
          <w:rFonts w:ascii="Calibri" w:cs="Calibri" w:eastAsia="Calibri" w:hAnsi="Calibri"/>
          <w:b w:val="1"/>
          <w:color w:val="434343"/>
          <w:sz w:val="24"/>
          <w:szCs w:val="24"/>
          <w:rtl w:val="0"/>
        </w:rPr>
        <w:t xml:space="preserve">Content Contributions</w:t>
      </w:r>
      <w:r w:rsidDel="00000000" w:rsidR="00000000" w:rsidRPr="00000000">
        <w:rPr>
          <w:rtl w:val="0"/>
        </w:rPr>
      </w:r>
    </w:p>
    <w:p w:rsidR="00000000" w:rsidDel="00000000" w:rsidP="00000000" w:rsidRDefault="00000000" w:rsidRPr="00000000" w14:paraId="00000012">
      <w:pPr>
        <w:numPr>
          <w:ilvl w:val="1"/>
          <w:numId w:val="1"/>
        </w:numPr>
        <w:tabs>
          <w:tab w:val="left" w:leader="none" w:pos="353.50000000000017"/>
        </w:tabs>
        <w:spacing w:after="0" w:before="0" w:lineRule="auto"/>
        <w:ind w:left="539.9999999999999" w:right="-327" w:hanging="359.9999999999998"/>
        <w:jc w:val="both"/>
        <w:rPr>
          <w:rFonts w:ascii="Calibri" w:cs="Calibri" w:eastAsia="Calibri" w:hAnsi="Calibri"/>
          <w:b w:val="1"/>
          <w:i w:val="1"/>
          <w:color w:val="434343"/>
          <w:sz w:val="24"/>
          <w:szCs w:val="24"/>
        </w:rPr>
      </w:pPr>
      <w:r w:rsidDel="00000000" w:rsidR="00000000" w:rsidRPr="00000000">
        <w:rPr>
          <w:rFonts w:ascii="Calibri" w:cs="Calibri" w:eastAsia="Calibri" w:hAnsi="Calibri"/>
          <w:b w:val="1"/>
          <w:color w:val="434343"/>
          <w:sz w:val="24"/>
          <w:szCs w:val="24"/>
          <w:rtl w:val="0"/>
        </w:rPr>
        <w:t xml:space="preserve">Tasks or activities</w:t>
      </w:r>
      <w:r w:rsidDel="00000000" w:rsidR="00000000" w:rsidRPr="00000000">
        <w:rPr>
          <w:rFonts w:ascii="Calibri" w:cs="Calibri" w:eastAsia="Calibri" w:hAnsi="Calibri"/>
          <w:color w:val="434343"/>
          <w:sz w:val="24"/>
          <w:szCs w:val="24"/>
          <w:rtl w:val="0"/>
        </w:rPr>
        <w:t xml:space="preserve"> </w:t>
      </w:r>
      <w:r w:rsidDel="00000000" w:rsidR="00000000" w:rsidRPr="00000000">
        <w:rPr>
          <w:rtl w:val="0"/>
        </w:rPr>
      </w:r>
    </w:p>
    <w:p w:rsidR="00000000" w:rsidDel="00000000" w:rsidP="00000000" w:rsidRDefault="00000000" w:rsidRPr="00000000" w14:paraId="00000013">
      <w:pPr>
        <w:tabs>
          <w:tab w:val="left" w:leader="none" w:pos="567"/>
        </w:tabs>
        <w:spacing w:after="0" w:before="0" w:lineRule="auto"/>
        <w:ind w:left="180.00000000000006" w:right="-382.49999999999886" w:firstLine="0"/>
        <w:jc w:val="both"/>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rtl w:val="0"/>
        </w:rPr>
        <w:t xml:space="preserve">WP3</w:t>
      </w:r>
      <w:r w:rsidDel="00000000" w:rsidR="00000000" w:rsidRPr="00000000">
        <w:rPr>
          <w:rFonts w:ascii="Calibri" w:cs="Calibri" w:eastAsia="Calibri" w:hAnsi="Calibri"/>
          <w:color w:val="434343"/>
          <w:rtl w:val="0"/>
        </w:rPr>
        <w:t xml:space="preserve"> – Contribute to modernizing the taxonomic backbone, ensuring its compatibility with open science principles and FAIR data, using Living Atlas architecture currently implemented in the Israel Center for Citizen Science (ICCS)  and compatible with GBIF. </w:t>
      </w:r>
      <w:r w:rsidDel="00000000" w:rsidR="00000000" w:rsidRPr="00000000">
        <w:rPr>
          <w:rFonts w:ascii="Calibri" w:cs="Calibri" w:eastAsia="Calibri" w:hAnsi="Calibri"/>
          <w:b w:val="1"/>
          <w:color w:val="434343"/>
          <w:rtl w:val="0"/>
        </w:rPr>
        <w:t xml:space="preserve">WP4 -  </w:t>
      </w:r>
      <w:r w:rsidDel="00000000" w:rsidR="00000000" w:rsidRPr="00000000">
        <w:rPr>
          <w:rFonts w:ascii="Calibri" w:cs="Calibri" w:eastAsia="Calibri" w:hAnsi="Calibri"/>
          <w:color w:val="434343"/>
          <w:rtl w:val="0"/>
        </w:rPr>
        <w:t xml:space="preserve">Cataloging and curation of existing </w:t>
      </w:r>
      <w:r w:rsidDel="00000000" w:rsidR="00000000" w:rsidRPr="00000000">
        <w:rPr>
          <w:rFonts w:ascii="Calibri" w:cs="Calibri" w:eastAsia="Calibri" w:hAnsi="Calibri"/>
          <w:color w:val="434343"/>
          <w:rtl w:val="0"/>
        </w:rPr>
        <w:t xml:space="preserve">community</w:t>
      </w:r>
      <w:r w:rsidDel="00000000" w:rsidR="00000000" w:rsidRPr="00000000">
        <w:rPr>
          <w:rFonts w:ascii="Calibri" w:cs="Calibri" w:eastAsia="Calibri" w:hAnsi="Calibri"/>
          <w:color w:val="434343"/>
          <w:rtl w:val="0"/>
        </w:rPr>
        <w:t xml:space="preserve"> models for sound and image based species identification, towards creation of a general registry. </w:t>
      </w:r>
      <w:r w:rsidDel="00000000" w:rsidR="00000000" w:rsidRPr="00000000">
        <w:rPr>
          <w:rFonts w:ascii="Calibri" w:cs="Calibri" w:eastAsia="Calibri" w:hAnsi="Calibri"/>
          <w:b w:val="1"/>
          <w:color w:val="434343"/>
          <w:rtl w:val="0"/>
        </w:rPr>
        <w:t xml:space="preserve">WP5</w:t>
      </w:r>
      <w:r w:rsidDel="00000000" w:rsidR="00000000" w:rsidRPr="00000000">
        <w:rPr>
          <w:rFonts w:ascii="Calibri" w:cs="Calibri" w:eastAsia="Calibri" w:hAnsi="Calibri"/>
          <w:color w:val="434343"/>
          <w:rtl w:val="0"/>
        </w:rPr>
        <w:t xml:space="preserve"> – We propose the Israel Taxonomy Initiative (ITI) as a platform for taxonomy training, networking and linking with other CETAF institutes. Via ongoing collaboration with DEST, we suggest building a training program for professionals, students and citizen scientists at different levels of proficiency. Finally we propose a case study of the use of species identification guides for training the public in taxonomic identification of species. </w:t>
      </w:r>
      <w:r w:rsidDel="00000000" w:rsidR="00000000" w:rsidRPr="00000000">
        <w:rPr>
          <w:rFonts w:ascii="Calibri" w:cs="Calibri" w:eastAsia="Calibri" w:hAnsi="Calibri"/>
          <w:b w:val="1"/>
          <w:color w:val="434343"/>
          <w:rtl w:val="0"/>
        </w:rPr>
        <w:t xml:space="preserve">WP7</w:t>
      </w:r>
      <w:r w:rsidDel="00000000" w:rsidR="00000000" w:rsidRPr="00000000">
        <w:rPr>
          <w:rFonts w:ascii="Calibri" w:cs="Calibri" w:eastAsia="Calibri" w:hAnsi="Calibri"/>
          <w:color w:val="434343"/>
          <w:rtl w:val="0"/>
        </w:rPr>
        <w:t xml:space="preserve">- Lead participatory stakeholder processes, workshops, and engagement events to map, analyze, and address ethical, legal and social challenges. </w:t>
      </w:r>
      <w:r w:rsidDel="00000000" w:rsidR="00000000" w:rsidRPr="00000000">
        <w:rPr>
          <w:rFonts w:ascii="Calibri" w:cs="Calibri" w:eastAsia="Calibri" w:hAnsi="Calibri"/>
          <w:b w:val="1"/>
          <w:color w:val="434343"/>
          <w:rtl w:val="0"/>
        </w:rPr>
        <w:t xml:space="preserve">WP9</w:t>
      </w:r>
      <w:r w:rsidDel="00000000" w:rsidR="00000000" w:rsidRPr="00000000">
        <w:rPr>
          <w:rFonts w:ascii="Calibri" w:cs="Calibri" w:eastAsia="Calibri" w:hAnsi="Calibri"/>
          <w:color w:val="434343"/>
          <w:rtl w:val="0"/>
        </w:rPr>
        <w:t xml:space="preserve"> - Develop collaboration channels with land management, conservation governmental and nongovernmental organizations. </w:t>
      </w:r>
      <w:r w:rsidDel="00000000" w:rsidR="00000000" w:rsidRPr="00000000">
        <w:rPr>
          <w:rFonts w:ascii="Calibri" w:cs="Calibri" w:eastAsia="Calibri" w:hAnsi="Calibri"/>
          <w:b w:val="1"/>
          <w:color w:val="434343"/>
          <w:rtl w:val="0"/>
        </w:rPr>
        <w:t xml:space="preserve">WP10</w:t>
      </w:r>
      <w:r w:rsidDel="00000000" w:rsidR="00000000" w:rsidRPr="00000000">
        <w:rPr>
          <w:rFonts w:ascii="Calibri" w:cs="Calibri" w:eastAsia="Calibri" w:hAnsi="Calibri"/>
          <w:color w:val="434343"/>
          <w:rtl w:val="0"/>
        </w:rPr>
        <w:t xml:space="preserve"> - Organize a series of networking events and interactive workshops to strengthen connections with the CS community, enhance communication between taxonomists, CS practitioners, and the public, and raise awareness of taxonomy’s role in generating FAIR data.</w:t>
      </w:r>
      <w:r w:rsidDel="00000000" w:rsidR="00000000" w:rsidRPr="00000000">
        <w:rPr>
          <w:rtl w:val="0"/>
        </w:rPr>
      </w:r>
    </w:p>
    <w:p w:rsidR="00000000" w:rsidDel="00000000" w:rsidP="00000000" w:rsidRDefault="00000000" w:rsidRPr="00000000" w14:paraId="00000014">
      <w:pPr>
        <w:numPr>
          <w:ilvl w:val="1"/>
          <w:numId w:val="1"/>
        </w:numPr>
        <w:tabs>
          <w:tab w:val="left" w:leader="none" w:pos="567"/>
        </w:tabs>
        <w:spacing w:after="0" w:before="0" w:lineRule="auto"/>
        <w:ind w:left="539.9999999999999" w:right="-382.49999999999886" w:hanging="359.9999999999998"/>
        <w:jc w:val="both"/>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Expected outcomes</w:t>
      </w:r>
    </w:p>
    <w:p w:rsidR="00000000" w:rsidDel="00000000" w:rsidP="00000000" w:rsidRDefault="00000000" w:rsidRPr="00000000" w14:paraId="00000015">
      <w:pPr>
        <w:spacing w:after="0" w:before="0" w:lineRule="auto"/>
        <w:ind w:left="180.00000000000006" w:right="-382.49999999999886" w:firstLine="0"/>
        <w:jc w:val="both"/>
        <w:rPr>
          <w:rFonts w:ascii="Calibri" w:cs="Calibri" w:eastAsia="Calibri" w:hAnsi="Calibri"/>
          <w:color w:val="434343"/>
        </w:rPr>
      </w:pPr>
      <w:r w:rsidDel="00000000" w:rsidR="00000000" w:rsidRPr="00000000">
        <w:rPr>
          <w:rFonts w:ascii="Calibri" w:cs="Calibri" w:eastAsia="Calibri" w:hAnsi="Calibri"/>
          <w:b w:val="1"/>
          <w:color w:val="434343"/>
          <w:rtl w:val="0"/>
        </w:rPr>
        <w:t xml:space="preserve">WP3</w:t>
      </w:r>
      <w:r w:rsidDel="00000000" w:rsidR="00000000" w:rsidRPr="00000000">
        <w:rPr>
          <w:rFonts w:ascii="Calibri" w:cs="Calibri" w:eastAsia="Calibri" w:hAnsi="Calibri"/>
          <w:color w:val="434343"/>
          <w:rtl w:val="0"/>
        </w:rPr>
        <w:t xml:space="preserve"> – Proof of concept for connecting locally managed taxonomic backbone with enhanced EU-Nomen infrastructure.</w:t>
      </w:r>
      <w:r w:rsidDel="00000000" w:rsidR="00000000" w:rsidRPr="00000000">
        <w:rPr>
          <w:rFonts w:ascii="Calibri" w:cs="Calibri" w:eastAsia="Calibri" w:hAnsi="Calibri"/>
          <w:color w:val="434343"/>
          <w:sz w:val="24"/>
          <w:szCs w:val="24"/>
          <w:rtl w:val="0"/>
        </w:rPr>
        <w:t xml:space="preserve"> </w:t>
      </w:r>
      <w:r w:rsidDel="00000000" w:rsidR="00000000" w:rsidRPr="00000000">
        <w:rPr>
          <w:rFonts w:ascii="Calibri" w:cs="Calibri" w:eastAsia="Calibri" w:hAnsi="Calibri"/>
          <w:b w:val="1"/>
          <w:color w:val="434343"/>
          <w:rtl w:val="0"/>
        </w:rPr>
        <w:t xml:space="preserve">WP5</w:t>
      </w:r>
      <w:r w:rsidDel="00000000" w:rsidR="00000000" w:rsidRPr="00000000">
        <w:rPr>
          <w:rFonts w:ascii="Calibri" w:cs="Calibri" w:eastAsia="Calibri" w:hAnsi="Calibri"/>
          <w:color w:val="434343"/>
          <w:rtl w:val="0"/>
        </w:rPr>
        <w:t xml:space="preserve"> - 1. A series of taxonomy workshops and courses in Israel and collaborating European countries aimed at developing taxonomic skills of researchers and students and the general public 2. Standardized training framework for beginner taxonomists. 3. Blueprint and guidelines for developing user-friendly species identification guides for CS training programs in taxonomy. </w:t>
      </w:r>
      <w:r w:rsidDel="00000000" w:rsidR="00000000" w:rsidRPr="00000000">
        <w:rPr>
          <w:rFonts w:ascii="Calibri" w:cs="Calibri" w:eastAsia="Calibri" w:hAnsi="Calibri"/>
          <w:b w:val="1"/>
          <w:color w:val="434343"/>
          <w:rtl w:val="0"/>
        </w:rPr>
        <w:t xml:space="preserve">WP4 - </w:t>
      </w:r>
      <w:r w:rsidDel="00000000" w:rsidR="00000000" w:rsidRPr="00000000">
        <w:rPr>
          <w:rFonts w:ascii="Calibri" w:cs="Calibri" w:eastAsia="Calibri" w:hAnsi="Calibri"/>
          <w:color w:val="434343"/>
          <w:rtl w:val="0"/>
        </w:rPr>
        <w:t xml:space="preserve">Compilation of a  wide survey of existing models and approaches. Development of an assessment framework and a sharing mechanism to allow widespread use of the curated models. </w:t>
      </w:r>
      <w:r w:rsidDel="00000000" w:rsidR="00000000" w:rsidRPr="00000000">
        <w:rPr>
          <w:rFonts w:ascii="Calibri" w:cs="Calibri" w:eastAsia="Calibri" w:hAnsi="Calibri"/>
          <w:b w:val="1"/>
          <w:color w:val="434343"/>
          <w:rtl w:val="0"/>
        </w:rPr>
        <w:t xml:space="preserve">WP7</w:t>
      </w:r>
      <w:r w:rsidDel="00000000" w:rsidR="00000000" w:rsidRPr="00000000">
        <w:rPr>
          <w:rFonts w:ascii="Calibri" w:cs="Calibri" w:eastAsia="Calibri" w:hAnsi="Calibri"/>
          <w:color w:val="434343"/>
          <w:rtl w:val="0"/>
        </w:rPr>
        <w:t xml:space="preserve"> – Report on ethical stakeholder engagement for inclusive taxonomy practices, addressing ethical &amp; legal challenges and approaches to engaging diverse stakeholders in taxonomy-related activities.</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b w:val="1"/>
          <w:color w:val="434343"/>
          <w:rtl w:val="0"/>
        </w:rPr>
        <w:t xml:space="preserve">WP9 - </w:t>
      </w:r>
      <w:r w:rsidDel="00000000" w:rsidR="00000000" w:rsidRPr="00000000">
        <w:rPr>
          <w:rFonts w:ascii="Calibri" w:cs="Calibri" w:eastAsia="Calibri" w:hAnsi="Calibri"/>
          <w:color w:val="434343"/>
          <w:rtl w:val="0"/>
        </w:rPr>
        <w:t xml:space="preserve">Engagement Strategy with stakeholder from the science-policy interface. </w:t>
      </w:r>
      <w:r w:rsidDel="00000000" w:rsidR="00000000" w:rsidRPr="00000000">
        <w:rPr>
          <w:rFonts w:ascii="Calibri" w:cs="Calibri" w:eastAsia="Calibri" w:hAnsi="Calibri"/>
          <w:b w:val="1"/>
          <w:color w:val="434343"/>
          <w:rtl w:val="0"/>
        </w:rPr>
        <w:t xml:space="preserve">WP10</w:t>
      </w:r>
      <w:r w:rsidDel="00000000" w:rsidR="00000000" w:rsidRPr="00000000">
        <w:rPr>
          <w:rFonts w:ascii="Calibri" w:cs="Calibri" w:eastAsia="Calibri" w:hAnsi="Calibri"/>
          <w:color w:val="434343"/>
          <w:rtl w:val="0"/>
        </w:rPr>
        <w:t xml:space="preserve"> - Development of a knowledge-sharing framework that connects taxonomists with CS initiatives, facilitating collaboration, resource exchange, and capacity building</w:t>
      </w:r>
    </w:p>
    <w:p w:rsidR="00000000" w:rsidDel="00000000" w:rsidP="00000000" w:rsidRDefault="00000000" w:rsidRPr="00000000" w14:paraId="00000016">
      <w:pPr>
        <w:numPr>
          <w:ilvl w:val="1"/>
          <w:numId w:val="1"/>
        </w:numPr>
        <w:tabs>
          <w:tab w:val="left" w:leader="none" w:pos="567"/>
        </w:tabs>
        <w:spacing w:after="0" w:before="0" w:lineRule="auto"/>
        <w:ind w:left="539.9999999999999" w:right="-382.49999999999886" w:hanging="359.9999999999998"/>
        <w:jc w:val="both"/>
        <w:rPr>
          <w:rFonts w:ascii="Calibri" w:cs="Calibri" w:eastAsia="Calibri" w:hAnsi="Calibri"/>
          <w:b w:val="1"/>
          <w:i w:val="1"/>
          <w:color w:val="434343"/>
          <w:sz w:val="24"/>
          <w:szCs w:val="24"/>
        </w:rPr>
      </w:pPr>
      <w:r w:rsidDel="00000000" w:rsidR="00000000" w:rsidRPr="00000000">
        <w:rPr>
          <w:rFonts w:ascii="Calibri" w:cs="Calibri" w:eastAsia="Calibri" w:hAnsi="Calibri"/>
          <w:b w:val="1"/>
          <w:color w:val="434343"/>
          <w:sz w:val="24"/>
          <w:szCs w:val="24"/>
          <w:rtl w:val="0"/>
        </w:rPr>
        <w:t xml:space="preserve">Impact and the innovation</w:t>
      </w:r>
      <w:r w:rsidDel="00000000" w:rsidR="00000000" w:rsidRPr="00000000">
        <w:rPr>
          <w:rFonts w:ascii="Calibri" w:cs="Calibri" w:eastAsia="Calibri" w:hAnsi="Calibri"/>
          <w:color w:val="434343"/>
          <w:sz w:val="24"/>
          <w:szCs w:val="24"/>
          <w:rtl w:val="0"/>
        </w:rPr>
        <w:t xml:space="preserve"> </w:t>
      </w:r>
      <w:r w:rsidDel="00000000" w:rsidR="00000000" w:rsidRPr="00000000">
        <w:rPr>
          <w:rtl w:val="0"/>
        </w:rPr>
      </w:r>
    </w:p>
    <w:p w:rsidR="00000000" w:rsidDel="00000000" w:rsidP="00000000" w:rsidRDefault="00000000" w:rsidRPr="00000000" w14:paraId="00000017">
      <w:pPr>
        <w:spacing w:after="0" w:before="0" w:lineRule="auto"/>
        <w:ind w:left="180.00000000000006" w:right="-382.49999999999886" w:firstLine="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Our activities will drive innovation by prototyping a modernized taxonomic backbone at a regional level, and its implementation in a Living Atlas architecture. We will expand taxonomic training to specialists and non-specialists alike, integrating academic activity and CS, and fostering interdisciplinary collaboration. By guiding participatory stakeholder processes we will ensure inclusive, responsible, and sustainable engagement, involving diverse stakeholders and highlighting ethical practices and legal considerations. These efforts will create long-term knowledge transfer mechanisms, strengthening taxonomy, conservation, and policy. The proposed programs will promote exchange of knowledge and proficiency between Israel and Europe, and will enable researchers access to ecosystems of interest.</w:t>
      </w:r>
    </w:p>
    <w:p w:rsidR="00000000" w:rsidDel="00000000" w:rsidP="00000000" w:rsidRDefault="00000000" w:rsidRPr="00000000" w14:paraId="00000018">
      <w:pPr>
        <w:numPr>
          <w:ilvl w:val="0"/>
          <w:numId w:val="1"/>
        </w:numPr>
        <w:spacing w:after="0" w:before="0" w:lineRule="auto"/>
        <w:ind w:left="284" w:right="-327" w:hanging="284"/>
        <w:rPr>
          <w:rFonts w:ascii="Calibri" w:cs="Calibri" w:eastAsia="Calibri" w:hAnsi="Calibri"/>
          <w:b w:val="1"/>
          <w:i w:val="1"/>
          <w:color w:val="434343"/>
          <w:sz w:val="24"/>
          <w:szCs w:val="24"/>
        </w:rPr>
      </w:pPr>
      <w:r w:rsidDel="00000000" w:rsidR="00000000" w:rsidRPr="00000000">
        <w:rPr>
          <w:rFonts w:ascii="Calibri" w:cs="Calibri" w:eastAsia="Calibri" w:hAnsi="Calibri"/>
          <w:b w:val="1"/>
          <w:color w:val="434343"/>
          <w:sz w:val="24"/>
          <w:szCs w:val="24"/>
          <w:rtl w:val="0"/>
        </w:rPr>
        <w:t xml:space="preserve">Resources committed</w:t>
      </w:r>
      <w:r w:rsidDel="00000000" w:rsidR="00000000" w:rsidRPr="00000000">
        <w:rPr>
          <w:rtl w:val="0"/>
        </w:rPr>
      </w:r>
    </w:p>
    <w:p w:rsidR="00000000" w:rsidDel="00000000" w:rsidP="00000000" w:rsidRDefault="00000000" w:rsidRPr="00000000" w14:paraId="00000019">
      <w:pPr>
        <w:numPr>
          <w:ilvl w:val="1"/>
          <w:numId w:val="1"/>
        </w:numPr>
        <w:spacing w:after="0" w:before="0" w:lineRule="auto"/>
        <w:ind w:left="539.9999999999999" w:right="-327" w:hanging="359.9999999999998"/>
        <w:jc w:val="both"/>
        <w:rPr>
          <w:rFonts w:ascii="Calibri" w:cs="Calibri" w:eastAsia="Calibri" w:hAnsi="Calibri"/>
          <w:b w:val="1"/>
          <w:i w:val="1"/>
          <w:color w:val="434343"/>
          <w:sz w:val="24"/>
          <w:szCs w:val="24"/>
        </w:rPr>
      </w:pPr>
      <w:r w:rsidDel="00000000" w:rsidR="00000000" w:rsidRPr="00000000">
        <w:rPr>
          <w:rFonts w:ascii="Calibri" w:cs="Calibri" w:eastAsia="Calibri" w:hAnsi="Calibri"/>
          <w:b w:val="1"/>
          <w:color w:val="434343"/>
          <w:sz w:val="24"/>
          <w:szCs w:val="24"/>
          <w:rtl w:val="0"/>
        </w:rPr>
        <w:t xml:space="preserve">Expertise and experience</w:t>
      </w:r>
      <w:r w:rsidDel="00000000" w:rsidR="00000000" w:rsidRPr="00000000">
        <w:rPr>
          <w:rFonts w:ascii="Calibri" w:cs="Calibri" w:eastAsia="Calibri" w:hAnsi="Calibri"/>
          <w:color w:val="434343"/>
          <w:sz w:val="24"/>
          <w:szCs w:val="24"/>
          <w:rtl w:val="0"/>
        </w:rPr>
        <w:t xml:space="preserve"> </w:t>
      </w:r>
      <w:r w:rsidDel="00000000" w:rsidR="00000000" w:rsidRPr="00000000">
        <w:rPr>
          <w:rtl w:val="0"/>
        </w:rPr>
      </w:r>
    </w:p>
    <w:p w:rsidR="00000000" w:rsidDel="00000000" w:rsidP="00000000" w:rsidRDefault="00000000" w:rsidRPr="00000000" w14:paraId="0000001A">
      <w:pPr>
        <w:spacing w:after="0" w:before="0" w:lineRule="auto"/>
        <w:ind w:left="180.00000000000006" w:right="-382.49999999999886" w:firstLine="0"/>
        <w:jc w:val="both"/>
        <w:rPr>
          <w:rFonts w:ascii="Calibri" w:cs="Calibri" w:eastAsia="Calibri" w:hAnsi="Calibri"/>
          <w:color w:val="434343"/>
          <w:sz w:val="24"/>
          <w:szCs w:val="24"/>
        </w:rPr>
      </w:pPr>
      <w:r w:rsidDel="00000000" w:rsidR="00000000" w:rsidRPr="00000000">
        <w:rPr>
          <w:rFonts w:ascii="Calibri" w:cs="Calibri" w:eastAsia="Calibri" w:hAnsi="Calibri"/>
          <w:color w:val="434343"/>
          <w:rtl w:val="0"/>
        </w:rPr>
        <w:t xml:space="preserve">The Steinhardt Museum is a university based National Research Infrastructure and one of Israel’s most visited museums. Its team numbers almost 300 scientists and professionals who provide professional taxonomic support to diverse agencies and operate a large biodiversity dataset. It also operates three applied policy-relevant research centers in cooperation with several agencies that conduct most of Israel’s commitment to Biodiversa+ and are part of other Horizon projects (MERLIN, REGACE). Additionally, it operates the Israel Taxonomy Initiative that has already conducted &gt; 40 courses with international experts, including in partnership with DEST. It established and leads the Israel Center for Citizen Science. </w:t>
      </w:r>
      <w:r w:rsidDel="00000000" w:rsidR="00000000" w:rsidRPr="00000000">
        <w:rPr>
          <w:rtl w:val="0"/>
        </w:rPr>
      </w:r>
    </w:p>
    <w:p w:rsidR="00000000" w:rsidDel="00000000" w:rsidP="00000000" w:rsidRDefault="00000000" w:rsidRPr="00000000" w14:paraId="0000001B">
      <w:pPr>
        <w:numPr>
          <w:ilvl w:val="1"/>
          <w:numId w:val="1"/>
        </w:numPr>
        <w:spacing w:after="0" w:before="0" w:lineRule="auto"/>
        <w:ind w:left="539.9999999999999" w:right="-327" w:hanging="359.9999999999998"/>
        <w:jc w:val="both"/>
        <w:rPr>
          <w:rFonts w:ascii="Calibri" w:cs="Calibri" w:eastAsia="Calibri" w:hAnsi="Calibri"/>
          <w:color w:val="434343"/>
          <w:sz w:val="24"/>
          <w:szCs w:val="24"/>
          <w:u w:val="none"/>
        </w:rPr>
      </w:pPr>
      <w:r w:rsidDel="00000000" w:rsidR="00000000" w:rsidRPr="00000000">
        <w:rPr>
          <w:rFonts w:ascii="Calibri" w:cs="Calibri" w:eastAsia="Calibri" w:hAnsi="Calibri"/>
          <w:b w:val="1"/>
          <w:color w:val="434343"/>
          <w:sz w:val="24"/>
          <w:szCs w:val="24"/>
          <w:rtl w:val="0"/>
        </w:rPr>
        <w:t xml:space="preserve">Expected in-kind contribution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0000000000006" w:right="-327" w:firstLine="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Living Atlas platform &amp; CS infrastructure, Salaries of researchers on this proposal, Organizational support for workshops, training, education and science communication </w:t>
      </w:r>
    </w:p>
    <w:p w:rsidR="00000000" w:rsidDel="00000000" w:rsidP="00000000" w:rsidRDefault="00000000" w:rsidRPr="00000000" w14:paraId="0000001D">
      <w:pPr>
        <w:numPr>
          <w:ilvl w:val="1"/>
          <w:numId w:val="1"/>
        </w:numPr>
        <w:spacing w:after="0" w:before="0" w:lineRule="auto"/>
        <w:ind w:left="539.9999999999999" w:right="-327" w:hanging="359.9999999999998"/>
        <w:jc w:val="both"/>
        <w:rPr>
          <w:rFonts w:ascii="Calibri" w:cs="Calibri" w:eastAsia="Calibri" w:hAnsi="Calibri"/>
          <w:b w:val="1"/>
          <w:i w:val="1"/>
          <w:color w:val="434343"/>
          <w:sz w:val="24"/>
          <w:szCs w:val="24"/>
        </w:rPr>
      </w:pPr>
      <w:r w:rsidDel="00000000" w:rsidR="00000000" w:rsidRPr="00000000">
        <w:rPr>
          <w:rFonts w:ascii="Calibri" w:cs="Calibri" w:eastAsia="Calibri" w:hAnsi="Calibri"/>
          <w:color w:val="434343"/>
          <w:sz w:val="24"/>
          <w:szCs w:val="24"/>
          <w:rtl w:val="0"/>
        </w:rPr>
        <w:t xml:space="preserve">individuals who will be </w:t>
      </w:r>
      <w:r w:rsidDel="00000000" w:rsidR="00000000" w:rsidRPr="00000000">
        <w:rPr>
          <w:rFonts w:ascii="Calibri" w:cs="Calibri" w:eastAsia="Calibri" w:hAnsi="Calibri"/>
          <w:b w:val="1"/>
          <w:color w:val="e36c09"/>
          <w:sz w:val="24"/>
          <w:szCs w:val="24"/>
          <w:rtl w:val="0"/>
        </w:rPr>
        <w:t xml:space="preserve">involved in the project</w:t>
      </w:r>
      <w:r w:rsidDel="00000000" w:rsidR="00000000" w:rsidRPr="00000000">
        <w:rPr>
          <w:rFonts w:ascii="Calibri" w:cs="Calibri" w:eastAsia="Calibri" w:hAnsi="Calibri"/>
          <w:color w:val="e36c09"/>
          <w:sz w:val="24"/>
          <w:szCs w:val="24"/>
          <w:rtl w:val="0"/>
        </w:rPr>
        <w:t xml:space="preserve"> </w:t>
      </w:r>
      <w:r w:rsidDel="00000000" w:rsidR="00000000" w:rsidRPr="00000000">
        <w:rPr>
          <w:rtl w:val="0"/>
        </w:rPr>
      </w:r>
    </w:p>
    <w:sdt>
      <w:sdtPr>
        <w:lock w:val="contentLocked"/>
        <w:tag w:val="goog_rdk_1"/>
      </w:sdtPr>
      <w:sdtContent>
        <w:tbl>
          <w:tblPr>
            <w:tblStyle w:val="Table2"/>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
            <w:gridCol w:w="1830"/>
            <w:gridCol w:w="2685"/>
            <w:gridCol w:w="4590"/>
            <w:tblGridChange w:id="0">
              <w:tblGrid>
                <w:gridCol w:w="960"/>
                <w:gridCol w:w="1830"/>
                <w:gridCol w:w="2685"/>
                <w:gridCol w:w="4590"/>
              </w:tblGrid>
            </w:tblGridChange>
          </w:tblGrid>
          <w:tr>
            <w:trPr>
              <w:cantSplit w:val="0"/>
              <w:tblHeader w:val="0"/>
            </w:trPr>
            <w:tc>
              <w:tcPr>
                <w:shd w:fill="79c6ff" w:val="clear"/>
                <w:tcMar>
                  <w:top w:w="-44.64" w:type="dxa"/>
                  <w:left w:w="-44.64" w:type="dxa"/>
                  <w:bottom w:w="-44.64" w:type="dxa"/>
                  <w:right w:w="-44.64" w:type="dxa"/>
                </w:tcMar>
                <w:vAlign w:val="top"/>
              </w:tcPr>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shd w:fill="79c6ff" w:val="clear"/>
                <w:tcMar>
                  <w:top w:w="-44.64" w:type="dxa"/>
                  <w:left w:w="-44.64" w:type="dxa"/>
                  <w:bottom w:w="-44.64" w:type="dxa"/>
                  <w:right w:w="-44.64" w:type="dxa"/>
                </w:tcMar>
                <w:vAlign w:val="top"/>
              </w:tcPr>
              <w:p w:rsidR="00000000" w:rsidDel="00000000" w:rsidP="00000000" w:rsidRDefault="00000000" w:rsidRPr="00000000" w14:paraId="000000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w:t>
                </w:r>
              </w:p>
            </w:tc>
            <w:tc>
              <w:tcPr>
                <w:shd w:fill="79c6ff" w:val="clear"/>
                <w:tcMar>
                  <w:top w:w="-44.64" w:type="dxa"/>
                  <w:left w:w="-44.64" w:type="dxa"/>
                  <w:bottom w:w="-44.64" w:type="dxa"/>
                  <w:right w:w="-44.64" w:type="dxa"/>
                </w:tcMar>
                <w:vAlign w:val="top"/>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Potential role</w:t>
                </w:r>
              </w:p>
            </w:tc>
            <w:tc>
              <w:tcPr>
                <w:shd w:fill="79c6ff" w:val="clear"/>
                <w:tcMar>
                  <w:top w:w="-44.64" w:type="dxa"/>
                  <w:left w:w="-44.64" w:type="dxa"/>
                  <w:bottom w:w="-44.64" w:type="dxa"/>
                  <w:right w:w="-44.64" w:type="dxa"/>
                </w:tcMar>
                <w:vAlign w:val="top"/>
              </w:tcPr>
              <w:p w:rsidR="00000000" w:rsidDel="00000000" w:rsidP="00000000" w:rsidRDefault="00000000" w:rsidRPr="00000000" w14:paraId="000000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Linked expertise </w:t>
                </w:r>
              </w:p>
            </w:tc>
          </w:tr>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2">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Tamar Dayan</w:t>
                </w:r>
              </w:p>
            </w:tc>
            <w:tc>
              <w:tcPr>
                <w:shd w:fill="auto" w:val="clear"/>
                <w:tcMar>
                  <w:top w:w="-44.64" w:type="dxa"/>
                  <w:left w:w="-44.64" w:type="dxa"/>
                  <w:bottom w:w="-44.64" w:type="dxa"/>
                  <w:right w:w="-44.64" w:type="dxa"/>
                </w:tcMar>
                <w:vAlign w:val="top"/>
              </w:tcPr>
              <w:p w:rsidR="00000000" w:rsidDel="00000000" w:rsidP="00000000" w:rsidRDefault="00000000" w:rsidRPr="00000000" w14:paraId="00000023">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Heads the museum, involved in science and conservation policy </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24">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Research and action at the Science-Policy interface</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25">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Led the establishment of the Steinhardt Museum; chair of the National R&amp;D environment committee; took part in two Horizon projects, significant experience at the science-policy interface</w:t>
                </w:r>
              </w:p>
            </w:tc>
          </w:tr>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6">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Yaela Golumbic</w:t>
                </w:r>
              </w:p>
            </w:tc>
            <w:tc>
              <w:tcPr>
                <w:shd w:fill="auto" w:val="clear"/>
                <w:tcMar>
                  <w:top w:w="-44.64" w:type="dxa"/>
                  <w:left w:w="-44.64" w:type="dxa"/>
                  <w:bottom w:w="-44.64" w:type="dxa"/>
                  <w:right w:w="-44.64" w:type="dxa"/>
                </w:tcMar>
                <w:vAlign w:val="top"/>
              </w:tcPr>
              <w:p w:rsidR="00000000" w:rsidDel="00000000" w:rsidP="00000000" w:rsidRDefault="00000000" w:rsidRPr="00000000" w14:paraId="00000027">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Participatory and CS, science communication</w:t>
                </w:r>
              </w:p>
            </w:tc>
            <w:tc>
              <w:tcPr>
                <w:shd w:fill="auto" w:val="clear"/>
                <w:tcMar>
                  <w:top w:w="-44.64" w:type="dxa"/>
                  <w:left w:w="-44.64" w:type="dxa"/>
                  <w:bottom w:w="-44.64" w:type="dxa"/>
                  <w:right w:w="-44.64" w:type="dxa"/>
                </w:tcMar>
                <w:vAlign w:val="top"/>
              </w:tcPr>
              <w:p w:rsidR="00000000" w:rsidDel="00000000" w:rsidP="00000000" w:rsidRDefault="00000000" w:rsidRPr="00000000" w14:paraId="00000028">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Researcher of public engagement, stakeholders workshops, training</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29">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Participated in several Horizon projects, head of CS research in ICCS, Research on inclusion practices and public communication </w:t>
                </w:r>
              </w:p>
            </w:tc>
          </w:tr>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A">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Tomer Gueta</w:t>
                </w:r>
              </w:p>
            </w:tc>
            <w:tc>
              <w:tcPr>
                <w:shd w:fill="auto" w:val="clear"/>
                <w:tcMar>
                  <w:top w:w="-44.64" w:type="dxa"/>
                  <w:left w:w="-44.64" w:type="dxa"/>
                  <w:bottom w:w="-44.64" w:type="dxa"/>
                  <w:right w:w="-44.64" w:type="dxa"/>
                </w:tcMar>
                <w:vAlign w:val="top"/>
              </w:tcPr>
              <w:p w:rsidR="00000000" w:rsidDel="00000000" w:rsidP="00000000" w:rsidRDefault="00000000" w:rsidRPr="00000000" w14:paraId="0000002B">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Ecology data scientist, CS</w:t>
                </w:r>
              </w:p>
            </w:tc>
            <w:tc>
              <w:tcPr>
                <w:shd w:fill="auto" w:val="clear"/>
                <w:tcMar>
                  <w:top w:w="-44.64" w:type="dxa"/>
                  <w:left w:w="-44.64" w:type="dxa"/>
                  <w:bottom w:w="-44.64" w:type="dxa"/>
                  <w:right w:w="-44.64" w:type="dxa"/>
                </w:tcMar>
                <w:vAlign w:val="top"/>
              </w:tcPr>
              <w:p w:rsidR="00000000" w:rsidDel="00000000" w:rsidP="00000000" w:rsidRDefault="00000000" w:rsidRPr="00000000" w14:paraId="0000002C">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D</w:t>
                </w:r>
                <w:r w:rsidDel="00000000" w:rsidR="00000000" w:rsidRPr="00000000">
                  <w:rPr>
                    <w:rFonts w:ascii="Calibri" w:cs="Calibri" w:eastAsia="Calibri" w:hAnsi="Calibri"/>
                    <w:color w:val="434343"/>
                    <w:rtl w:val="0"/>
                  </w:rPr>
                  <w:t xml:space="preserve">ata science and taxonomic backbone development</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2D">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Developer of the Living Atlas architecture within ICCS</w:t>
                </w: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2E">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Ronit Justo-Hanani </w:t>
                </w:r>
              </w:p>
            </w:tc>
            <w:tc>
              <w:tcPr>
                <w:shd w:fill="auto" w:val="clear"/>
                <w:tcMar>
                  <w:top w:w="-44.64" w:type="dxa"/>
                  <w:left w:w="-44.64" w:type="dxa"/>
                  <w:bottom w:w="-44.64" w:type="dxa"/>
                  <w:right w:w="-44.64" w:type="dxa"/>
                </w:tcMar>
                <w:vAlign w:val="top"/>
              </w:tcPr>
              <w:p w:rsidR="00000000" w:rsidDel="00000000" w:rsidP="00000000" w:rsidRDefault="00000000" w:rsidRPr="00000000" w14:paraId="0000002F">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Biodiversity regulation and policy, EU invasive species regulation</w:t>
                </w:r>
              </w:p>
            </w:tc>
            <w:tc>
              <w:tcPr>
                <w:shd w:fill="auto" w:val="clear"/>
                <w:tcMar>
                  <w:top w:w="-44.64" w:type="dxa"/>
                  <w:left w:w="-44.64" w:type="dxa"/>
                  <w:bottom w:w="-44.64" w:type="dxa"/>
                  <w:right w:w="-44.64" w:type="dxa"/>
                </w:tcMar>
                <w:vAlign w:val="top"/>
              </w:tcPr>
              <w:p w:rsidR="00000000" w:rsidDel="00000000" w:rsidP="00000000" w:rsidRDefault="00000000" w:rsidRPr="00000000" w14:paraId="00000030">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Researcher on policy and legal  aspects</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31">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In</w:t>
                </w:r>
                <w:r w:rsidDel="00000000" w:rsidR="00000000" w:rsidRPr="00000000">
                  <w:rPr>
                    <w:rFonts w:ascii="Calibri" w:cs="Calibri" w:eastAsia="Calibri" w:hAnsi="Calibri"/>
                    <w:color w:val="434343"/>
                    <w:rtl w:val="0"/>
                  </w:rPr>
                  <w:t xml:space="preserve">vited member: UN Multidisciplinary Ad Hoc Technical Expert Group on Synthetic Biology; </w:t>
                </w:r>
                <w:r w:rsidDel="00000000" w:rsidR="00000000" w:rsidRPr="00000000">
                  <w:rPr>
                    <w:rFonts w:ascii="Calibri" w:cs="Calibri" w:eastAsia="Calibri" w:hAnsi="Calibri"/>
                    <w:color w:val="434343"/>
                    <w:rtl w:val="0"/>
                  </w:rPr>
                  <w:t xml:space="preserve">Intergovernmental Science-Policy Platform on Biodiversity and Ecosystem Services</w:t>
                </w:r>
                <w:r w:rsidDel="00000000" w:rsidR="00000000" w:rsidRPr="00000000">
                  <w:rPr>
                    <w:rtl w:val="0"/>
                  </w:rPr>
                </w:r>
              </w:p>
            </w:tc>
          </w:tr>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32">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Zafrir Kuplik </w:t>
                </w:r>
              </w:p>
            </w:tc>
            <w:tc>
              <w:tcPr>
                <w:shd w:fill="auto" w:val="clear"/>
                <w:tcMar>
                  <w:top w:w="-44.64" w:type="dxa"/>
                  <w:left w:w="-44.64" w:type="dxa"/>
                  <w:bottom w:w="-44.64" w:type="dxa"/>
                  <w:right w:w="-44.64" w:type="dxa"/>
                </w:tcMar>
                <w:vAlign w:val="top"/>
              </w:tcPr>
              <w:p w:rsidR="00000000" w:rsidDel="00000000" w:rsidP="00000000" w:rsidRDefault="00000000" w:rsidRPr="00000000" w14:paraId="00000033">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Taxonomy, biodiversity</w:t>
                </w:r>
              </w:p>
            </w:tc>
            <w:tc>
              <w:tcPr>
                <w:shd w:fill="auto" w:val="clear"/>
                <w:tcMar>
                  <w:top w:w="-44.64" w:type="dxa"/>
                  <w:left w:w="-44.64" w:type="dxa"/>
                  <w:bottom w:w="-44.64" w:type="dxa"/>
                  <w:right w:w="-44.64" w:type="dxa"/>
                </w:tcMar>
                <w:vAlign w:val="top"/>
              </w:tcPr>
              <w:p w:rsidR="00000000" w:rsidDel="00000000" w:rsidP="00000000" w:rsidRDefault="00000000" w:rsidRPr="00000000" w14:paraId="00000034">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Researcher, Lecturer</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35">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Researcher and lecturer on Taxonomy and Biodiversity. collaborated in DEST courses.</w:t>
                </w:r>
                <w:r w:rsidDel="00000000" w:rsidR="00000000" w:rsidRPr="00000000">
                  <w:rPr>
                    <w:rtl w:val="0"/>
                  </w:rPr>
                </w:r>
              </w:p>
            </w:tc>
          </w:tr>
          <w:tr>
            <w:trPr>
              <w:cantSplit w:val="0"/>
              <w:trHeight w:val="565.6640625" w:hRule="atLeast"/>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36">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Liron Goren</w:t>
                </w:r>
              </w:p>
            </w:tc>
            <w:tc>
              <w:tcPr>
                <w:shd w:fill="auto" w:val="clear"/>
                <w:tcMar>
                  <w:top w:w="-44.64" w:type="dxa"/>
                  <w:left w:w="-44.64" w:type="dxa"/>
                  <w:bottom w:w="-44.64" w:type="dxa"/>
                  <w:right w:w="-44.64" w:type="dxa"/>
                </w:tcMar>
                <w:vAlign w:val="top"/>
              </w:tcPr>
              <w:p w:rsidR="00000000" w:rsidDel="00000000" w:rsidP="00000000" w:rsidRDefault="00000000" w:rsidRPr="00000000" w14:paraId="00000037">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Taxonomy, biodiversity</w:t>
                </w:r>
              </w:p>
            </w:tc>
            <w:tc>
              <w:tcPr>
                <w:shd w:fill="auto" w:val="clear"/>
                <w:tcMar>
                  <w:top w:w="-44.64" w:type="dxa"/>
                  <w:left w:w="-44.64" w:type="dxa"/>
                  <w:bottom w:w="-44.64" w:type="dxa"/>
                  <w:right w:w="-44.64" w:type="dxa"/>
                </w:tcMar>
                <w:vAlign w:val="top"/>
              </w:tcPr>
              <w:p w:rsidR="00000000" w:rsidDel="00000000" w:rsidP="00000000" w:rsidRDefault="00000000" w:rsidRPr="00000000" w14:paraId="00000038">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Researcher, Lecturer, developer of international taxonomy courses</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39">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Researcher and lecturer on Taxonomy and Biodiversity. collaborated in DEST courses.</w:t>
                </w:r>
                <w:r w:rsidDel="00000000" w:rsidR="00000000" w:rsidRPr="00000000">
                  <w:rPr>
                    <w:rtl w:val="0"/>
                  </w:rPr>
                </w:r>
              </w:p>
            </w:tc>
          </w:tr>
          <w:tr>
            <w:trPr>
              <w:cantSplit w:val="0"/>
              <w:trHeight w:val="565.6640625" w:hRule="atLeast"/>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3A">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Hezi</w:t>
                </w:r>
              </w:p>
              <w:p w:rsidR="00000000" w:rsidDel="00000000" w:rsidP="00000000" w:rsidRDefault="00000000" w:rsidRPr="00000000" w14:paraId="0000003B">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Resheff</w:t>
                </w:r>
              </w:p>
            </w:tc>
            <w:tc>
              <w:tcPr>
                <w:shd w:fill="auto" w:val="clear"/>
                <w:tcMar>
                  <w:top w:w="-44.64" w:type="dxa"/>
                  <w:left w:w="-44.64" w:type="dxa"/>
                  <w:bottom w:w="-44.64" w:type="dxa"/>
                  <w:right w:w="-44.64" w:type="dxa"/>
                </w:tcMar>
                <w:vAlign w:val="top"/>
              </w:tcPr>
              <w:p w:rsidR="00000000" w:rsidDel="00000000" w:rsidP="00000000" w:rsidRDefault="00000000" w:rsidRPr="00000000" w14:paraId="0000003C">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Ecology AI and data science</w:t>
                </w:r>
              </w:p>
            </w:tc>
            <w:tc>
              <w:tcPr>
                <w:shd w:fill="auto" w:val="clear"/>
                <w:tcMar>
                  <w:top w:w="-44.64" w:type="dxa"/>
                  <w:left w:w="-44.64" w:type="dxa"/>
                  <w:bottom w:w="-44.64" w:type="dxa"/>
                  <w:right w:w="-44.64" w:type="dxa"/>
                </w:tcMar>
                <w:vAlign w:val="top"/>
              </w:tcPr>
              <w:p w:rsidR="00000000" w:rsidDel="00000000" w:rsidP="00000000" w:rsidRDefault="00000000" w:rsidRPr="00000000" w14:paraId="0000003D">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Researcher; AI models and data science</w:t>
                </w:r>
              </w:p>
            </w:tc>
            <w:tc>
              <w:tcPr>
                <w:shd w:fill="auto" w:val="clear"/>
                <w:tcMar>
                  <w:top w:w="-44.64" w:type="dxa"/>
                  <w:left w:w="-44.64" w:type="dxa"/>
                  <w:bottom w:w="-44.64" w:type="dxa"/>
                  <w:right w:w="-44.64" w:type="dxa"/>
                </w:tcMar>
                <w:vAlign w:val="top"/>
              </w:tcPr>
              <w:p w:rsidR="00000000" w:rsidDel="00000000" w:rsidP="00000000" w:rsidRDefault="00000000" w:rsidRPr="00000000" w14:paraId="0000003E">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Background in AI and data science in Ecology, actively working on species identification from sound. Experienced with online machine learning platforms for Ecology research (AcceleRater). </w:t>
                </w:r>
              </w:p>
            </w:tc>
          </w:tr>
          <w:tr>
            <w:trPr>
              <w:cantSplit w:val="0"/>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3F">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Ilil Pratt</w:t>
                </w:r>
              </w:p>
            </w:tc>
            <w:tc>
              <w:tcPr>
                <w:shd w:fill="auto" w:val="clear"/>
                <w:tcMar>
                  <w:top w:w="-44.64" w:type="dxa"/>
                  <w:left w:w="-44.64" w:type="dxa"/>
                  <w:bottom w:w="-44.64" w:type="dxa"/>
                  <w:right w:w="-44.64" w:type="dxa"/>
                </w:tcMar>
                <w:vAlign w:val="top"/>
              </w:tcPr>
              <w:p w:rsidR="00000000" w:rsidDel="00000000" w:rsidP="00000000" w:rsidRDefault="00000000" w:rsidRPr="00000000" w14:paraId="00000040">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Education and communication</w:t>
                </w:r>
              </w:p>
            </w:tc>
            <w:tc>
              <w:tcPr>
                <w:shd w:fill="auto" w:val="clear"/>
                <w:tcMar>
                  <w:top w:w="-44.64" w:type="dxa"/>
                  <w:left w:w="-44.64" w:type="dxa"/>
                  <w:bottom w:w="-44.64" w:type="dxa"/>
                  <w:right w:w="-44.64" w:type="dxa"/>
                </w:tcMar>
                <w:vAlign w:val="top"/>
              </w:tcPr>
              <w:p w:rsidR="00000000" w:rsidDel="00000000" w:rsidP="00000000" w:rsidRDefault="00000000" w:rsidRPr="00000000" w14:paraId="00000041">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S</w:t>
                </w:r>
                <w:r w:rsidDel="00000000" w:rsidR="00000000" w:rsidRPr="00000000">
                  <w:rPr>
                    <w:rFonts w:ascii="Calibri" w:cs="Calibri" w:eastAsia="Calibri" w:hAnsi="Calibri"/>
                    <w:color w:val="434343"/>
                    <w:rtl w:val="0"/>
                  </w:rPr>
                  <w:t xml:space="preserve">upport for education and science communication </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42">
                <w:pPr>
                  <w:widowControl w:val="0"/>
                  <w:spacing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Head of science education and communication section</w:t>
                </w:r>
              </w:p>
            </w:tc>
          </w:tr>
        </w:tbl>
      </w:sdtContent>
    </w:sdt>
    <w:p w:rsidR="00000000" w:rsidDel="00000000" w:rsidP="00000000" w:rsidRDefault="00000000" w:rsidRPr="00000000" w14:paraId="00000043">
      <w:pPr>
        <w:numPr>
          <w:ilvl w:val="0"/>
          <w:numId w:val="1"/>
        </w:numPr>
        <w:spacing w:after="0" w:before="0" w:lineRule="auto"/>
        <w:ind w:left="284" w:right="-327" w:hanging="284"/>
        <w:jc w:val="both"/>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No</w:t>
      </w:r>
    </w:p>
    <w:p w:rsidR="00000000" w:rsidDel="00000000" w:rsidP="00000000" w:rsidRDefault="00000000" w:rsidRPr="00000000" w14:paraId="00000044">
      <w:pPr>
        <w:numPr>
          <w:ilvl w:val="0"/>
          <w:numId w:val="1"/>
        </w:numPr>
        <w:spacing w:after="0" w:before="0" w:lineRule="auto"/>
        <w:ind w:left="284" w:right="-327" w:hanging="284"/>
        <w:jc w:val="both"/>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No</w:t>
      </w:r>
      <w:r w:rsidDel="00000000" w:rsidR="00000000" w:rsidRPr="00000000">
        <w:rPr>
          <w:rtl w:val="0"/>
        </w:rPr>
      </w:r>
    </w:p>
    <w:sectPr>
      <w:headerReference r:id="rId7" w:type="default"/>
      <w:headerReference r:id="rId8" w:type="first"/>
      <w:footerReference r:id="rId9" w:type="first"/>
      <w:pgSz w:h="16834" w:w="11909" w:orient="portrait"/>
      <w:pgMar w:bottom="1440" w:top="1440" w:left="1134"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ind w:left="142" w:firstLine="0"/>
      <w:rPr>
        <w:rFonts w:ascii="Montserrat" w:cs="Montserrat" w:eastAsia="Montserrat" w:hAnsi="Montserrat"/>
        <w:b w:val="1"/>
        <w:color w:val="e69138"/>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numPr>
        <w:ilvl w:val="0"/>
        <w:numId w:val="2"/>
      </w:numPr>
      <w:tabs>
        <w:tab w:val="left" w:leader="none" w:pos="5670"/>
      </w:tabs>
      <w:ind w:left="6032" w:hanging="360"/>
      <w:rPr>
        <w:color w:val="e36c09"/>
        <w:sz w:val="48"/>
        <w:szCs w:val="48"/>
      </w:rPr>
    </w:pPr>
    <w:r w:rsidDel="00000000" w:rsidR="00000000" w:rsidRPr="00000000">
      <w:rPr>
        <w:rFonts w:ascii="Montserrat" w:cs="Montserrat" w:eastAsia="Montserrat" w:hAnsi="Montserrat"/>
        <w:b w:val="1"/>
        <w:color w:val="e36c09"/>
        <w:sz w:val="48"/>
        <w:szCs w:val="48"/>
        <w:rtl w:val="0"/>
      </w:rPr>
      <w:t xml:space="preserve">Next</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1269448</wp:posOffset>
          </wp:positionH>
          <wp:positionV relativeFrom="paragraph">
            <wp:posOffset>-111124</wp:posOffset>
          </wp:positionV>
          <wp:extent cx="2139950" cy="534670"/>
          <wp:effectExtent b="0" l="0" r="0" t="0"/>
          <wp:wrapSquare wrapText="bothSides" distB="0" distT="0" distL="0" distR="0"/>
          <wp:docPr descr="Icono&#10;&#10;El contenido generado por IA puede ser incorrecto." id="1848458990" name="image1.png"/>
          <a:graphic>
            <a:graphicData uri="http://schemas.openxmlformats.org/drawingml/2006/picture">
              <pic:pic>
                <pic:nvPicPr>
                  <pic:cNvPr descr="Icono&#10;&#10;El contenido generado por IA puede ser incorrecto." id="0" name="image1.png"/>
                  <pic:cNvPicPr preferRelativeResize="0"/>
                </pic:nvPicPr>
                <pic:blipFill>
                  <a:blip r:embed="rId1"/>
                  <a:srcRect b="0" l="0" r="0" t="0"/>
                  <a:stretch>
                    <a:fillRect/>
                  </a:stretch>
                </pic:blipFill>
                <pic:spPr>
                  <a:xfrm>
                    <a:off x="0" y="0"/>
                    <a:ext cx="2139950" cy="5346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3" w:hanging="283"/>
      </w:pPr>
      <w:rPr>
        <w:b w:val="1"/>
        <w:i w:val="0"/>
        <w:u w:val="none"/>
      </w:rPr>
    </w:lvl>
    <w:lvl w:ilvl="1">
      <w:start w:val="1"/>
      <w:numFmt w:val="lowerLetter"/>
      <w:lvlText w:val="%2."/>
      <w:lvlJc w:val="left"/>
      <w:pPr>
        <w:ind w:left="539.9999999999999" w:hanging="359.99999999999983"/>
      </w:pPr>
      <w:rPr>
        <w:b w:val="1"/>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bullet"/>
      <w:lvlText w:val="-"/>
      <w:lvlJc w:val="left"/>
      <w:pPr>
        <w:ind w:left="6032" w:hanging="360"/>
      </w:pPr>
      <w:rPr>
        <w:rFonts w:ascii="Montserrat" w:cs="Montserrat" w:eastAsia="Montserrat" w:hAnsi="Montserrat"/>
        <w:b w:val="1"/>
      </w:rPr>
    </w:lvl>
    <w:lvl w:ilvl="1">
      <w:start w:val="1"/>
      <w:numFmt w:val="bullet"/>
      <w:lvlText w:val="o"/>
      <w:lvlJc w:val="left"/>
      <w:pPr>
        <w:ind w:left="6752" w:hanging="360"/>
      </w:pPr>
      <w:rPr>
        <w:rFonts w:ascii="Courier New" w:cs="Courier New" w:eastAsia="Courier New" w:hAnsi="Courier New"/>
      </w:rPr>
    </w:lvl>
    <w:lvl w:ilvl="2">
      <w:start w:val="1"/>
      <w:numFmt w:val="bullet"/>
      <w:lvlText w:val="▪"/>
      <w:lvlJc w:val="left"/>
      <w:pPr>
        <w:ind w:left="7472" w:hanging="360"/>
      </w:pPr>
      <w:rPr>
        <w:rFonts w:ascii="Noto Sans Symbols" w:cs="Noto Sans Symbols" w:eastAsia="Noto Sans Symbols" w:hAnsi="Noto Sans Symbols"/>
      </w:rPr>
    </w:lvl>
    <w:lvl w:ilvl="3">
      <w:start w:val="1"/>
      <w:numFmt w:val="bullet"/>
      <w:lvlText w:val="●"/>
      <w:lvlJc w:val="left"/>
      <w:pPr>
        <w:ind w:left="8192" w:hanging="360"/>
      </w:pPr>
      <w:rPr>
        <w:rFonts w:ascii="Noto Sans Symbols" w:cs="Noto Sans Symbols" w:eastAsia="Noto Sans Symbols" w:hAnsi="Noto Sans Symbols"/>
      </w:rPr>
    </w:lvl>
    <w:lvl w:ilvl="4">
      <w:start w:val="1"/>
      <w:numFmt w:val="bullet"/>
      <w:lvlText w:val="o"/>
      <w:lvlJc w:val="left"/>
      <w:pPr>
        <w:ind w:left="8912" w:hanging="360"/>
      </w:pPr>
      <w:rPr>
        <w:rFonts w:ascii="Courier New" w:cs="Courier New" w:eastAsia="Courier New" w:hAnsi="Courier New"/>
      </w:rPr>
    </w:lvl>
    <w:lvl w:ilvl="5">
      <w:start w:val="1"/>
      <w:numFmt w:val="bullet"/>
      <w:lvlText w:val="▪"/>
      <w:lvlJc w:val="left"/>
      <w:pPr>
        <w:ind w:left="9632" w:hanging="360"/>
      </w:pPr>
      <w:rPr>
        <w:rFonts w:ascii="Noto Sans Symbols" w:cs="Noto Sans Symbols" w:eastAsia="Noto Sans Symbols" w:hAnsi="Noto Sans Symbols"/>
      </w:rPr>
    </w:lvl>
    <w:lvl w:ilvl="6">
      <w:start w:val="1"/>
      <w:numFmt w:val="bullet"/>
      <w:lvlText w:val="●"/>
      <w:lvlJc w:val="left"/>
      <w:pPr>
        <w:ind w:left="10352" w:hanging="360"/>
      </w:pPr>
      <w:rPr>
        <w:rFonts w:ascii="Noto Sans Symbols" w:cs="Noto Sans Symbols" w:eastAsia="Noto Sans Symbols" w:hAnsi="Noto Sans Symbols"/>
      </w:rPr>
    </w:lvl>
    <w:lvl w:ilvl="7">
      <w:start w:val="1"/>
      <w:numFmt w:val="bullet"/>
      <w:lvlText w:val="o"/>
      <w:lvlJc w:val="left"/>
      <w:pPr>
        <w:ind w:left="11072" w:hanging="360"/>
      </w:pPr>
      <w:rPr>
        <w:rFonts w:ascii="Courier New" w:cs="Courier New" w:eastAsia="Courier New" w:hAnsi="Courier New"/>
      </w:rPr>
    </w:lvl>
    <w:lvl w:ilvl="8">
      <w:start w:val="1"/>
      <w:numFmt w:val="bullet"/>
      <w:lvlText w:val="▪"/>
      <w:lvlJc w:val="left"/>
      <w:pPr>
        <w:ind w:left="11792"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paragraph" w:styleId="Prrafodelista">
    <w:name w:val="List Paragraph"/>
    <w:basedOn w:val="Normal"/>
    <w:uiPriority w:val="34"/>
    <w:qFormat w:val="1"/>
    <w:rsid w:val="00047FD2"/>
    <w:pPr>
      <w:ind w:left="720"/>
      <w:contextualSpacing w:val="1"/>
    </w:pPr>
  </w:style>
  <w:style w:type="paragraph" w:styleId="Encabezado">
    <w:name w:val="header"/>
    <w:basedOn w:val="Normal"/>
    <w:link w:val="EncabezadoCar"/>
    <w:uiPriority w:val="99"/>
    <w:unhideWhenUsed w:val="1"/>
    <w:rsid w:val="004F2495"/>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4F2495"/>
  </w:style>
  <w:style w:type="paragraph" w:styleId="Piedepgina">
    <w:name w:val="footer"/>
    <w:basedOn w:val="Normal"/>
    <w:link w:val="PiedepginaCar"/>
    <w:uiPriority w:val="99"/>
    <w:unhideWhenUsed w:val="1"/>
    <w:rsid w:val="004F2495"/>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4F2495"/>
  </w:style>
  <w:style w:type="character" w:styleId="Hipervnculo">
    <w:name w:val="Hyperlink"/>
    <w:basedOn w:val="Fuentedeprrafopredeter"/>
    <w:uiPriority w:val="99"/>
    <w:unhideWhenUsed w:val="1"/>
    <w:rsid w:val="00543033"/>
    <w:rPr>
      <w:color w:val="0000ff" w:themeColor="hyperlink"/>
      <w:u w:val="single"/>
    </w:rPr>
  </w:style>
  <w:style w:type="character" w:styleId="Mencinsinresolver">
    <w:name w:val="Unresolved Mention"/>
    <w:basedOn w:val="Fuentedeprrafopredeter"/>
    <w:uiPriority w:val="99"/>
    <w:semiHidden w:val="1"/>
    <w:unhideWhenUsed w:val="1"/>
    <w:rsid w:val="00543033"/>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rIKbNT3wUzEhPEL7ajbafwCWeA==">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2025-02-14T15:17:00Z</dcterms:created>
  <dc:creator>Ana Casino</dc:creator>
</cp:coreProperties>
</file>