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fvmocnf59mib" w:id="0"/>
      <w:bookmarkEnd w:id="0"/>
      <w:r w:rsidDel="00000000" w:rsidR="00000000" w:rsidRPr="00000000">
        <w:rPr>
          <w:rtl w:val="0"/>
        </w:rPr>
        <w:t xml:space="preserve">CETAF 59: ESG interactive session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/>
      </w:pPr>
      <w:bookmarkStart w:colFirst="0" w:colLast="0" w:name="_hg9r8wvta99b" w:id="1"/>
      <w:bookmarkEnd w:id="1"/>
      <w:r w:rsidDel="00000000" w:rsidR="00000000" w:rsidRPr="00000000">
        <w:rPr>
          <w:rtl w:val="0"/>
        </w:rPr>
        <w:t xml:space="preserve">Enhancing and publishing Earth Science Specimen Metadata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Session format: </w:t>
      </w:r>
      <w:r w:rsidDel="00000000" w:rsidR="00000000" w:rsidRPr="00000000">
        <w:rPr>
          <w:rtl w:val="0"/>
        </w:rPr>
        <w:t xml:space="preserve">Interactive working session 29th 11:00 - 12:00 </w:t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1hr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Participation type: </w:t>
      </w:r>
      <w:r w:rsidDel="00000000" w:rsidR="00000000" w:rsidRPr="00000000">
        <w:rPr>
          <w:rtl w:val="0"/>
        </w:rPr>
        <w:t xml:space="preserve">Hybrid. </w:t>
      </w:r>
    </w:p>
    <w:p w:rsidR="00000000" w:rsidDel="00000000" w:rsidP="00000000" w:rsidRDefault="00000000" w:rsidRPr="00000000" w14:paraId="00000007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Participation list: </w:t>
      </w:r>
    </w:p>
    <w:p w:rsidR="00000000" w:rsidDel="00000000" w:rsidP="00000000" w:rsidRDefault="00000000" w:rsidRPr="00000000" w14:paraId="00000008">
      <w:pPr>
        <w:spacing w:after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Physical attendance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Hybrid 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Tilley, Olle Hints, Vani, Patricia….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Björn Kröger</w:t>
            </w:r>
          </w:p>
        </w:tc>
      </w:tr>
    </w:tbl>
    <w:p w:rsidR="00000000" w:rsidDel="00000000" w:rsidP="00000000" w:rsidRDefault="00000000" w:rsidRPr="00000000" w14:paraId="0000000D">
      <w:pPr>
        <w:spacing w:after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7485"/>
        <w:gridCol w:w="1215"/>
        <w:tblGridChange w:id="0">
          <w:tblGrid>
            <w:gridCol w:w="660"/>
            <w:gridCol w:w="7485"/>
            <w:gridCol w:w="1215"/>
          </w:tblGrid>
        </w:tblGridChange>
      </w:tblGrid>
      <w:tr>
        <w:trPr>
          <w:cantSplit w:val="0"/>
          <w:trHeight w:val="1328.90625" w:hRule="atLeast"/>
          <w:tblHeader w:val="0"/>
        </w:trPr>
        <w:tc>
          <w:tcPr>
            <w:vMerge w:val="restart"/>
            <w:tcBorders>
              <w:bottom w:color="d9d9d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Introduction and context (5 mins)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Recap of ESG objectives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Overview of the publication goals (best practices and metadata decision tree</w:t>
            </w:r>
          </w:p>
        </w:tc>
        <w:tc>
          <w:tcPr>
            <w:vMerge w:val="restart"/>
            <w:tcBorders>
              <w:bottom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tcBorders>
              <w:top w:color="d9d9d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134f5c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34f5c"/>
                <w:sz w:val="20"/>
                <w:szCs w:val="20"/>
                <w:rtl w:val="0"/>
              </w:rPr>
              <w:t xml:space="preserve">Notes: </w:t>
            </w:r>
          </w:p>
        </w:tc>
        <w:tc>
          <w:tcPr>
            <w:vMerge w:val="continue"/>
            <w:tcBorders>
              <w:top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color w:val="134f5c"/>
                <w:sz w:val="38"/>
                <w:szCs w:val="38"/>
                <w:rtl w:val="0"/>
              </w:rPr>
              <w:t xml:space="preserve">2</w:t>
            </w:r>
          </w:p>
        </w:tc>
        <w:tc>
          <w:tcPr>
            <w:tcBorders>
              <w:bottom w:color="99999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Case study approach and spreadsheet overview (10 mins)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Introduction to the case study methodology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Walk-through of the spreadsheet structure 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Summary of pre-session input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color w:val="134f5c"/>
                <w:sz w:val="38"/>
                <w:szCs w:val="38"/>
                <w:rtl w:val="0"/>
              </w:rPr>
              <w:t xml:space="preserve">3</w:t>
            </w:r>
          </w:p>
        </w:tc>
        <w:tc>
          <w:tcPr>
            <w:tcBorders>
              <w:bottom w:color="99999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Case study working session (25 mins)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Refine metadata concepts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 priority assignments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gaps in existing standards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Format depending on group size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Breakout groups (different case studies), or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Plenary discussion (one or two case studies).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color w:val="134f5c"/>
                <w:sz w:val="38"/>
                <w:szCs w:val="3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Key findings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Next steps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34f5c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spacing w:after="200" w:lineRule="auto"/>
        <w:rPr/>
      </w:pPr>
      <w:bookmarkStart w:colFirst="0" w:colLast="0" w:name="_dsy2ehv2rgfp" w:id="2"/>
      <w:bookmarkEnd w:id="2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color w:val="134f5c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color w:val="1c458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i w:val="1"/>
      <w:iCs w:val="1"/>
      <w:color w:val="134f5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